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AE01" w14:textId="77777777" w:rsidR="00BF3CF6" w:rsidRDefault="009B3A68">
      <w:pPr>
        <w:spacing w:before="59" w:line="364" w:lineRule="exact"/>
        <w:ind w:left="777" w:right="760"/>
        <w:jc w:val="center"/>
        <w:rPr>
          <w:b/>
          <w:sz w:val="32"/>
        </w:rPr>
      </w:pPr>
      <w:r>
        <w:rPr>
          <w:b/>
          <w:sz w:val="32"/>
        </w:rPr>
        <w:t>CEC Branding Guide</w:t>
      </w:r>
    </w:p>
    <w:p w14:paraId="14D714F0" w14:textId="14532448" w:rsidR="00BF3CF6" w:rsidRDefault="009B3A68">
      <w:pPr>
        <w:pStyle w:val="BodyText"/>
        <w:spacing w:line="272" w:lineRule="exact"/>
        <w:ind w:left="780" w:right="760"/>
        <w:jc w:val="center"/>
      </w:pPr>
      <w:r>
        <w:t>Revised January 2019</w:t>
      </w:r>
    </w:p>
    <w:p w14:paraId="1A4AF3FC" w14:textId="77777777" w:rsidR="00BF3CF6" w:rsidRDefault="00BF3CF6">
      <w:pPr>
        <w:pStyle w:val="BodyText"/>
      </w:pPr>
    </w:p>
    <w:p w14:paraId="487ED83F" w14:textId="77777777" w:rsidR="00BF3CF6" w:rsidRDefault="009B3A68">
      <w:pPr>
        <w:pStyle w:val="BodyText"/>
        <w:ind w:left="100" w:right="208"/>
      </w:pPr>
      <w:r>
        <w:t>The Council for Exceptional Children (CEC) and its state/provincial units and divisions, are dedicated to fulfilling our mission of advancing the success of children with exceptionalities. We accomplish our mission through advocacy, standards, and professional development. One of the most important activities CEC can do to ensure its success is to enhance its image through consistent branding. As CEC competes externally for consumers’ attention, its image and brand help members and consumers understand who we are and what we have to offer.</w:t>
      </w:r>
    </w:p>
    <w:p w14:paraId="453AD096" w14:textId="77777777" w:rsidR="00BF3CF6" w:rsidRDefault="00BF3CF6">
      <w:pPr>
        <w:pStyle w:val="BodyText"/>
        <w:spacing w:before="4"/>
      </w:pPr>
    </w:p>
    <w:p w14:paraId="7C60F350" w14:textId="77777777" w:rsidR="00BF3CF6" w:rsidRDefault="009B3A68">
      <w:pPr>
        <w:pStyle w:val="BodyText"/>
        <w:ind w:left="100" w:right="322"/>
      </w:pPr>
      <w:r>
        <w:t>The CEC brand supports its critical mission – to work to improve the quality of life for individuals with exceptionalities and their families through professional excellence and advocacy. CEC’s brand also defines who we are – a diverse, vibrant professional community working with others to ensure that individuals with exceptionalities are valued and included in all aspects of life. In 2000, CEC went through an intensive strategic branding effort to revise its logo and develop guidelines for its consistency.</w:t>
      </w:r>
    </w:p>
    <w:p w14:paraId="2E6348B0" w14:textId="77777777" w:rsidR="00BF3CF6" w:rsidRDefault="00BF3CF6">
      <w:pPr>
        <w:pStyle w:val="BodyText"/>
        <w:spacing w:before="9"/>
      </w:pPr>
    </w:p>
    <w:p w14:paraId="31E84EE5" w14:textId="77777777" w:rsidR="00BF3CF6" w:rsidRDefault="009B3A68">
      <w:pPr>
        <w:pStyle w:val="Heading1"/>
      </w:pPr>
      <w:r>
        <w:t>Goals of CEC Branding:</w:t>
      </w:r>
    </w:p>
    <w:p w14:paraId="3827818E" w14:textId="77777777" w:rsidR="00BF3CF6" w:rsidRDefault="00BF3CF6">
      <w:pPr>
        <w:pStyle w:val="BodyText"/>
        <w:spacing w:before="6"/>
        <w:rPr>
          <w:b/>
          <w:sz w:val="23"/>
        </w:rPr>
      </w:pPr>
    </w:p>
    <w:p w14:paraId="5EA200AC" w14:textId="77777777" w:rsidR="00BF3CF6" w:rsidRDefault="009B3A68">
      <w:pPr>
        <w:pStyle w:val="ListParagraph"/>
        <w:numPr>
          <w:ilvl w:val="0"/>
          <w:numId w:val="3"/>
        </w:numPr>
        <w:tabs>
          <w:tab w:val="left" w:pos="820"/>
          <w:tab w:val="left" w:pos="821"/>
        </w:tabs>
        <w:rPr>
          <w:sz w:val="24"/>
        </w:rPr>
      </w:pPr>
      <w:r>
        <w:rPr>
          <w:sz w:val="24"/>
        </w:rPr>
        <w:t>Heighten public awareness of CEC, its mission, and</w:t>
      </w:r>
      <w:r>
        <w:rPr>
          <w:spacing w:val="-4"/>
          <w:sz w:val="24"/>
        </w:rPr>
        <w:t xml:space="preserve"> </w:t>
      </w:r>
      <w:r>
        <w:rPr>
          <w:sz w:val="24"/>
        </w:rPr>
        <w:t>vision</w:t>
      </w:r>
    </w:p>
    <w:p w14:paraId="0800A965" w14:textId="77777777" w:rsidR="00BF3CF6" w:rsidRDefault="009B3A68">
      <w:pPr>
        <w:pStyle w:val="ListParagraph"/>
        <w:numPr>
          <w:ilvl w:val="0"/>
          <w:numId w:val="3"/>
        </w:numPr>
        <w:tabs>
          <w:tab w:val="left" w:pos="820"/>
          <w:tab w:val="left" w:pos="821"/>
        </w:tabs>
        <w:spacing w:before="23" w:line="274" w:lineRule="exact"/>
        <w:ind w:right="214"/>
        <w:rPr>
          <w:sz w:val="24"/>
        </w:rPr>
      </w:pPr>
      <w:r>
        <w:rPr>
          <w:sz w:val="24"/>
        </w:rPr>
        <w:t>Unify CEC’s image across units, divisions, subdivisions, and chapters, creating</w:t>
      </w:r>
      <w:r>
        <w:rPr>
          <w:spacing w:val="-15"/>
          <w:sz w:val="24"/>
        </w:rPr>
        <w:t xml:space="preserve"> </w:t>
      </w:r>
      <w:r>
        <w:rPr>
          <w:sz w:val="24"/>
        </w:rPr>
        <w:t>a stronger awareness as a</w:t>
      </w:r>
      <w:r>
        <w:rPr>
          <w:spacing w:val="-5"/>
          <w:sz w:val="24"/>
        </w:rPr>
        <w:t xml:space="preserve"> </w:t>
      </w:r>
      <w:r>
        <w:rPr>
          <w:sz w:val="24"/>
        </w:rPr>
        <w:t>whole</w:t>
      </w:r>
    </w:p>
    <w:p w14:paraId="1C6F322E" w14:textId="77777777" w:rsidR="00BF3CF6" w:rsidRDefault="009B3A68">
      <w:pPr>
        <w:pStyle w:val="ListParagraph"/>
        <w:numPr>
          <w:ilvl w:val="0"/>
          <w:numId w:val="3"/>
        </w:numPr>
        <w:tabs>
          <w:tab w:val="left" w:pos="820"/>
          <w:tab w:val="left" w:pos="821"/>
        </w:tabs>
        <w:spacing w:line="293" w:lineRule="exact"/>
        <w:rPr>
          <w:sz w:val="24"/>
        </w:rPr>
      </w:pPr>
      <w:r>
        <w:rPr>
          <w:sz w:val="24"/>
        </w:rPr>
        <w:t>Differentiate CEC from</w:t>
      </w:r>
      <w:r>
        <w:rPr>
          <w:spacing w:val="-5"/>
          <w:sz w:val="24"/>
        </w:rPr>
        <w:t xml:space="preserve"> </w:t>
      </w:r>
      <w:r>
        <w:rPr>
          <w:sz w:val="24"/>
        </w:rPr>
        <w:t>competitors</w:t>
      </w:r>
    </w:p>
    <w:p w14:paraId="70E4C1CF" w14:textId="77777777" w:rsidR="00BF3CF6" w:rsidRDefault="009B3A68">
      <w:pPr>
        <w:pStyle w:val="ListParagraph"/>
        <w:numPr>
          <w:ilvl w:val="0"/>
          <w:numId w:val="3"/>
        </w:numPr>
        <w:tabs>
          <w:tab w:val="left" w:pos="820"/>
          <w:tab w:val="left" w:pos="821"/>
        </w:tabs>
        <w:spacing w:line="293" w:lineRule="exact"/>
        <w:rPr>
          <w:sz w:val="24"/>
        </w:rPr>
      </w:pPr>
      <w:r>
        <w:rPr>
          <w:sz w:val="24"/>
        </w:rPr>
        <w:t>Clarify our promise to members and</w:t>
      </w:r>
      <w:r>
        <w:rPr>
          <w:spacing w:val="-9"/>
          <w:sz w:val="24"/>
        </w:rPr>
        <w:t xml:space="preserve"> </w:t>
      </w:r>
      <w:r>
        <w:rPr>
          <w:sz w:val="24"/>
        </w:rPr>
        <w:t>consumers</w:t>
      </w:r>
    </w:p>
    <w:p w14:paraId="12EC1DC2" w14:textId="77777777" w:rsidR="00BF3CF6" w:rsidRDefault="009B3A68">
      <w:pPr>
        <w:pStyle w:val="ListParagraph"/>
        <w:numPr>
          <w:ilvl w:val="0"/>
          <w:numId w:val="3"/>
        </w:numPr>
        <w:tabs>
          <w:tab w:val="left" w:pos="820"/>
          <w:tab w:val="left" w:pos="821"/>
        </w:tabs>
        <w:spacing w:line="293" w:lineRule="exact"/>
        <w:rPr>
          <w:sz w:val="24"/>
        </w:rPr>
      </w:pPr>
      <w:r>
        <w:rPr>
          <w:sz w:val="24"/>
        </w:rPr>
        <w:t>Make access into new markets</w:t>
      </w:r>
      <w:r>
        <w:rPr>
          <w:spacing w:val="-6"/>
          <w:sz w:val="24"/>
        </w:rPr>
        <w:t xml:space="preserve"> </w:t>
      </w:r>
      <w:r>
        <w:rPr>
          <w:sz w:val="24"/>
        </w:rPr>
        <w:t>easier</w:t>
      </w:r>
    </w:p>
    <w:p w14:paraId="073E6330" w14:textId="77777777" w:rsidR="00BF3CF6" w:rsidRDefault="009B3A68">
      <w:pPr>
        <w:pStyle w:val="ListParagraph"/>
        <w:numPr>
          <w:ilvl w:val="0"/>
          <w:numId w:val="3"/>
        </w:numPr>
        <w:tabs>
          <w:tab w:val="left" w:pos="820"/>
          <w:tab w:val="left" w:pos="821"/>
        </w:tabs>
        <w:spacing w:line="293" w:lineRule="exact"/>
        <w:rPr>
          <w:sz w:val="24"/>
        </w:rPr>
      </w:pPr>
      <w:r>
        <w:rPr>
          <w:sz w:val="24"/>
        </w:rPr>
        <w:t>Help the general public understand who we are and what we stand</w:t>
      </w:r>
      <w:r>
        <w:rPr>
          <w:spacing w:val="-10"/>
          <w:sz w:val="24"/>
        </w:rPr>
        <w:t xml:space="preserve"> </w:t>
      </w:r>
      <w:r>
        <w:rPr>
          <w:sz w:val="24"/>
        </w:rPr>
        <w:t>for</w:t>
      </w:r>
    </w:p>
    <w:p w14:paraId="7F6FD564" w14:textId="77777777" w:rsidR="00BF3CF6" w:rsidRDefault="009B3A68">
      <w:pPr>
        <w:pStyle w:val="ListParagraph"/>
        <w:numPr>
          <w:ilvl w:val="0"/>
          <w:numId w:val="3"/>
        </w:numPr>
        <w:tabs>
          <w:tab w:val="left" w:pos="820"/>
          <w:tab w:val="left" w:pos="821"/>
        </w:tabs>
        <w:spacing w:line="293" w:lineRule="exact"/>
        <w:rPr>
          <w:sz w:val="24"/>
        </w:rPr>
      </w:pPr>
      <w:r>
        <w:rPr>
          <w:sz w:val="24"/>
        </w:rPr>
        <w:t>Help fundraising</w:t>
      </w:r>
      <w:r>
        <w:rPr>
          <w:spacing w:val="-6"/>
          <w:sz w:val="24"/>
        </w:rPr>
        <w:t xml:space="preserve"> </w:t>
      </w:r>
      <w:r>
        <w:rPr>
          <w:sz w:val="24"/>
        </w:rPr>
        <w:t>efforts</w:t>
      </w:r>
    </w:p>
    <w:p w14:paraId="005A5CEF" w14:textId="77777777" w:rsidR="00BF3CF6" w:rsidRDefault="00BF3CF6">
      <w:pPr>
        <w:pStyle w:val="BodyText"/>
        <w:rPr>
          <w:sz w:val="28"/>
        </w:rPr>
      </w:pPr>
    </w:p>
    <w:p w14:paraId="25ABFD31" w14:textId="77777777" w:rsidR="00BF3CF6" w:rsidRDefault="009B3A68">
      <w:pPr>
        <w:pStyle w:val="Heading1"/>
        <w:spacing w:before="234"/>
        <w:ind w:left="782" w:right="760"/>
        <w:jc w:val="center"/>
      </w:pPr>
      <w:r>
        <w:t>How CEC State/Provincial Units, Divisions, Chapters and Subdivisions Benefit from Consistent Branding</w:t>
      </w:r>
    </w:p>
    <w:p w14:paraId="521CF567" w14:textId="77777777" w:rsidR="00BF3CF6" w:rsidRDefault="00BF3CF6">
      <w:pPr>
        <w:pStyle w:val="BodyText"/>
        <w:spacing w:before="11"/>
        <w:rPr>
          <w:b/>
          <w:sz w:val="23"/>
        </w:rPr>
      </w:pPr>
    </w:p>
    <w:p w14:paraId="3BFF45E9" w14:textId="77777777" w:rsidR="00BF3CF6" w:rsidRDefault="009B3A68">
      <w:pPr>
        <w:pStyle w:val="BodyText"/>
        <w:ind w:left="100" w:right="134"/>
      </w:pPr>
      <w:r>
        <w:t>Strengthening CEC’s brand will yield positive results for all CEC units. Being associated with CEC’s known, respected brand increases a unit’s perceived value and that of its products, services, and membership. As CEC’s brand — and each unit’s brand — becomes reinforced in the public’s mind, each CEC unit should enjoy increased awareness, membership, publication sales, conference attendance, and so on.</w:t>
      </w:r>
    </w:p>
    <w:p w14:paraId="4B29DF26" w14:textId="77777777" w:rsidR="00BF3CF6" w:rsidRDefault="00BF3CF6">
      <w:pPr>
        <w:pStyle w:val="BodyText"/>
        <w:spacing w:before="4"/>
      </w:pPr>
    </w:p>
    <w:p w14:paraId="2062970A" w14:textId="77777777" w:rsidR="00BF3CF6" w:rsidRDefault="009B3A68">
      <w:pPr>
        <w:pStyle w:val="BodyText"/>
        <w:ind w:left="100" w:right="294"/>
      </w:pPr>
      <w:r>
        <w:t>Likewise, CEC benefits by linking our brand with that of each of our state/provincial units, divisions, subdivisions, and chapters. CEC’s units have earned a highly respected place in the education community based on their leadership, advocacy, publications, conferences, and other activities. By forming a unified image that is instantly recognizable, we strengthen each other. Consistent use of the CEC brand across the organization will reinforce our brand promise and help ensure our success.</w:t>
      </w:r>
    </w:p>
    <w:p w14:paraId="01491322" w14:textId="77777777" w:rsidR="00BF3CF6" w:rsidRDefault="00BF3CF6">
      <w:pPr>
        <w:sectPr w:rsidR="00BF3CF6">
          <w:type w:val="continuous"/>
          <w:pgSz w:w="12240" w:h="15840"/>
          <w:pgMar w:top="1380" w:right="1720" w:bottom="280" w:left="1700" w:header="720" w:footer="720" w:gutter="0"/>
          <w:cols w:space="720"/>
        </w:sectPr>
      </w:pPr>
    </w:p>
    <w:p w14:paraId="6B6FB12D" w14:textId="77777777" w:rsidR="00BF3CF6" w:rsidRDefault="009B3A68">
      <w:pPr>
        <w:pStyle w:val="Heading1"/>
        <w:spacing w:before="77"/>
        <w:ind w:left="2604"/>
      </w:pPr>
      <w:r>
        <w:lastRenderedPageBreak/>
        <w:t>Guidelines for Using the CEC Logo</w:t>
      </w:r>
    </w:p>
    <w:p w14:paraId="36ED0389" w14:textId="77777777" w:rsidR="00BF3CF6" w:rsidRDefault="00BF3CF6">
      <w:pPr>
        <w:pStyle w:val="BodyText"/>
        <w:spacing w:before="11"/>
        <w:rPr>
          <w:b/>
          <w:sz w:val="23"/>
        </w:rPr>
      </w:pPr>
    </w:p>
    <w:p w14:paraId="3DAD6B46" w14:textId="5B50AB48" w:rsidR="00BF3CF6" w:rsidRDefault="009B3A68">
      <w:pPr>
        <w:pStyle w:val="ListParagraph"/>
        <w:numPr>
          <w:ilvl w:val="0"/>
          <w:numId w:val="2"/>
        </w:numPr>
        <w:tabs>
          <w:tab w:val="left" w:pos="820"/>
          <w:tab w:val="left" w:pos="821"/>
        </w:tabs>
        <w:ind w:right="3121" w:firstLine="0"/>
        <w:rPr>
          <w:sz w:val="24"/>
        </w:rPr>
      </w:pPr>
      <w:r>
        <w:rPr>
          <w:noProof/>
        </w:rPr>
        <w:drawing>
          <wp:anchor distT="0" distB="0" distL="0" distR="0" simplePos="0" relativeHeight="251658240" behindDoc="0" locked="0" layoutInCell="1" allowOverlap="1" wp14:anchorId="4EECF6E4" wp14:editId="73C86925">
            <wp:simplePos x="0" y="0"/>
            <wp:positionH relativeFrom="page">
              <wp:posOffset>5133975</wp:posOffset>
            </wp:positionH>
            <wp:positionV relativeFrom="paragraph">
              <wp:posOffset>13248</wp:posOffset>
            </wp:positionV>
            <wp:extent cx="149542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95425" cy="685800"/>
                    </a:xfrm>
                    <a:prstGeom prst="rect">
                      <a:avLst/>
                    </a:prstGeom>
                  </pic:spPr>
                </pic:pic>
              </a:graphicData>
            </a:graphic>
          </wp:anchor>
        </w:drawing>
      </w:r>
      <w:r>
        <w:rPr>
          <w:sz w:val="24"/>
        </w:rPr>
        <w:t xml:space="preserve">Only CEC-recognized state/provincial units and divisions may use the CEC logo. The entire graphic is available from CEC Headquarters. Chapters, subdivisions, and other interested parties should contact </w:t>
      </w:r>
      <w:r w:rsidR="00FA7572">
        <w:rPr>
          <w:sz w:val="24"/>
        </w:rPr>
        <w:t>Alexandra Garvey</w:t>
      </w:r>
      <w:r>
        <w:rPr>
          <w:sz w:val="24"/>
        </w:rPr>
        <w:t xml:space="preserve">, </w:t>
      </w:r>
      <w:hyperlink r:id="rId7" w:history="1">
        <w:r w:rsidR="00FA7572">
          <w:rPr>
            <w:rStyle w:val="Hyperlink"/>
            <w:sz w:val="24"/>
          </w:rPr>
          <w:t>alexandrag@cec.sped.org</w:t>
        </w:r>
      </w:hyperlink>
      <w:r w:rsidR="00FA7572" w:rsidRPr="00FA7572">
        <w:rPr>
          <w:rStyle w:val="Hyperlink"/>
          <w:sz w:val="24"/>
        </w:rPr>
        <w:t>,</w:t>
      </w:r>
      <w:r>
        <w:rPr>
          <w:sz w:val="24"/>
        </w:rPr>
        <w:t xml:space="preserve"> 703-264-943</w:t>
      </w:r>
      <w:r w:rsidR="00B75459">
        <w:rPr>
          <w:sz w:val="24"/>
        </w:rPr>
        <w:t>5</w:t>
      </w:r>
      <w:bookmarkStart w:id="0" w:name="_GoBack"/>
      <w:bookmarkEnd w:id="0"/>
      <w:r>
        <w:rPr>
          <w:sz w:val="24"/>
        </w:rPr>
        <w:t>, to obtain a</w:t>
      </w:r>
      <w:r>
        <w:rPr>
          <w:spacing w:val="-9"/>
          <w:sz w:val="24"/>
        </w:rPr>
        <w:t xml:space="preserve"> </w:t>
      </w:r>
      <w:r>
        <w:rPr>
          <w:sz w:val="24"/>
        </w:rPr>
        <w:t>graphic.</w:t>
      </w:r>
    </w:p>
    <w:p w14:paraId="40F9215D" w14:textId="77777777" w:rsidR="00BF3CF6" w:rsidRDefault="00BF3CF6">
      <w:pPr>
        <w:pStyle w:val="BodyText"/>
        <w:spacing w:before="1"/>
        <w:rPr>
          <w:sz w:val="16"/>
        </w:rPr>
      </w:pPr>
    </w:p>
    <w:p w14:paraId="3081CAD2" w14:textId="77777777" w:rsidR="00BF3CF6" w:rsidRDefault="009B3A68">
      <w:pPr>
        <w:pStyle w:val="ListParagraph"/>
        <w:numPr>
          <w:ilvl w:val="0"/>
          <w:numId w:val="2"/>
        </w:numPr>
        <w:tabs>
          <w:tab w:val="left" w:pos="820"/>
          <w:tab w:val="left" w:pos="821"/>
        </w:tabs>
        <w:spacing w:before="90"/>
        <w:ind w:right="202" w:firstLine="0"/>
        <w:rPr>
          <w:sz w:val="24"/>
        </w:rPr>
      </w:pPr>
      <w:r>
        <w:rPr>
          <w:sz w:val="24"/>
        </w:rPr>
        <w:t>The official colors for the CEC logo are Pantone (PMS) 1805 Red and Pantone (PMS) 287 Blue. The colors should never be rearranged, changed, screened, or altered</w:t>
      </w:r>
      <w:r>
        <w:rPr>
          <w:spacing w:val="-13"/>
          <w:sz w:val="24"/>
        </w:rPr>
        <w:t xml:space="preserve"> </w:t>
      </w:r>
      <w:r>
        <w:rPr>
          <w:sz w:val="24"/>
        </w:rPr>
        <w:t>in any way, except as listed in</w:t>
      </w:r>
      <w:r>
        <w:rPr>
          <w:spacing w:val="-4"/>
          <w:sz w:val="24"/>
        </w:rPr>
        <w:t xml:space="preserve"> </w:t>
      </w:r>
      <w:r>
        <w:rPr>
          <w:sz w:val="24"/>
        </w:rPr>
        <w:t>#5.</w:t>
      </w:r>
    </w:p>
    <w:p w14:paraId="7E4EB28D" w14:textId="77777777" w:rsidR="00BF3CF6" w:rsidRDefault="00BF3CF6">
      <w:pPr>
        <w:pStyle w:val="BodyText"/>
      </w:pPr>
    </w:p>
    <w:p w14:paraId="2C24CA61" w14:textId="77777777" w:rsidR="00BF3CF6" w:rsidRDefault="009B3A68">
      <w:pPr>
        <w:pStyle w:val="ListParagraph"/>
        <w:numPr>
          <w:ilvl w:val="0"/>
          <w:numId w:val="2"/>
        </w:numPr>
        <w:tabs>
          <w:tab w:val="left" w:pos="820"/>
          <w:tab w:val="left" w:pos="821"/>
        </w:tabs>
        <w:ind w:left="820"/>
        <w:rPr>
          <w:sz w:val="24"/>
        </w:rPr>
      </w:pPr>
      <w:r>
        <w:rPr>
          <w:sz w:val="24"/>
        </w:rPr>
        <w:t>The approved color options</w:t>
      </w:r>
      <w:r>
        <w:rPr>
          <w:spacing w:val="-6"/>
          <w:sz w:val="24"/>
        </w:rPr>
        <w:t xml:space="preserve"> </w:t>
      </w:r>
      <w:r>
        <w:rPr>
          <w:sz w:val="24"/>
        </w:rPr>
        <w:t>are:</w:t>
      </w:r>
    </w:p>
    <w:p w14:paraId="1A74A828" w14:textId="77777777" w:rsidR="00BF3CF6" w:rsidRDefault="00BF3CF6">
      <w:pPr>
        <w:pStyle w:val="BodyText"/>
        <w:spacing w:before="4"/>
      </w:pPr>
    </w:p>
    <w:p w14:paraId="0863D3DC" w14:textId="77777777" w:rsidR="00BF3CF6" w:rsidRDefault="009B3A68">
      <w:pPr>
        <w:pStyle w:val="ListParagraph"/>
        <w:numPr>
          <w:ilvl w:val="1"/>
          <w:numId w:val="2"/>
        </w:numPr>
        <w:tabs>
          <w:tab w:val="left" w:pos="820"/>
          <w:tab w:val="left" w:pos="821"/>
        </w:tabs>
        <w:spacing w:line="293" w:lineRule="exact"/>
        <w:rPr>
          <w:sz w:val="24"/>
        </w:rPr>
      </w:pPr>
      <w:r>
        <w:rPr>
          <w:sz w:val="24"/>
        </w:rPr>
        <w:t>Pantone 1805 (red) and Pantone 287</w:t>
      </w:r>
      <w:r>
        <w:rPr>
          <w:spacing w:val="-6"/>
          <w:sz w:val="24"/>
        </w:rPr>
        <w:t xml:space="preserve"> </w:t>
      </w:r>
      <w:r>
        <w:rPr>
          <w:sz w:val="24"/>
        </w:rPr>
        <w:t>(blue)</w:t>
      </w:r>
    </w:p>
    <w:p w14:paraId="78C363C7" w14:textId="77777777" w:rsidR="00BF3CF6" w:rsidRDefault="009B3A68">
      <w:pPr>
        <w:pStyle w:val="ListParagraph"/>
        <w:numPr>
          <w:ilvl w:val="1"/>
          <w:numId w:val="2"/>
        </w:numPr>
        <w:tabs>
          <w:tab w:val="left" w:pos="820"/>
          <w:tab w:val="left" w:pos="821"/>
        </w:tabs>
        <w:spacing w:line="293" w:lineRule="exact"/>
        <w:rPr>
          <w:sz w:val="24"/>
        </w:rPr>
      </w:pPr>
      <w:r>
        <w:rPr>
          <w:sz w:val="24"/>
        </w:rPr>
        <w:t>Black</w:t>
      </w:r>
      <w:r>
        <w:rPr>
          <w:spacing w:val="1"/>
          <w:sz w:val="24"/>
        </w:rPr>
        <w:t xml:space="preserve"> </w:t>
      </w:r>
      <w:r>
        <w:rPr>
          <w:sz w:val="24"/>
        </w:rPr>
        <w:t>only</w:t>
      </w:r>
    </w:p>
    <w:p w14:paraId="7AD7C6B8" w14:textId="77777777" w:rsidR="00BF3CF6" w:rsidRDefault="009B3A68">
      <w:pPr>
        <w:pStyle w:val="ListParagraph"/>
        <w:numPr>
          <w:ilvl w:val="1"/>
          <w:numId w:val="2"/>
        </w:numPr>
        <w:tabs>
          <w:tab w:val="left" w:pos="820"/>
          <w:tab w:val="left" w:pos="821"/>
        </w:tabs>
        <w:spacing w:before="1" w:line="293" w:lineRule="exact"/>
        <w:rPr>
          <w:sz w:val="24"/>
        </w:rPr>
      </w:pPr>
      <w:r>
        <w:rPr>
          <w:sz w:val="24"/>
        </w:rPr>
        <w:t>Pantone 287 (blue) only</w:t>
      </w:r>
    </w:p>
    <w:p w14:paraId="42EF83BE" w14:textId="77777777" w:rsidR="00BF3CF6" w:rsidRDefault="009B3A68">
      <w:pPr>
        <w:pStyle w:val="ListParagraph"/>
        <w:numPr>
          <w:ilvl w:val="1"/>
          <w:numId w:val="2"/>
        </w:numPr>
        <w:tabs>
          <w:tab w:val="left" w:pos="820"/>
          <w:tab w:val="left" w:pos="821"/>
        </w:tabs>
        <w:spacing w:line="293" w:lineRule="exact"/>
        <w:rPr>
          <w:sz w:val="24"/>
        </w:rPr>
      </w:pPr>
      <w:r>
        <w:rPr>
          <w:sz w:val="24"/>
        </w:rPr>
        <w:t>Reverse print (white on a colored</w:t>
      </w:r>
      <w:r>
        <w:rPr>
          <w:spacing w:val="-8"/>
          <w:sz w:val="24"/>
        </w:rPr>
        <w:t xml:space="preserve"> </w:t>
      </w:r>
      <w:r>
        <w:rPr>
          <w:sz w:val="24"/>
        </w:rPr>
        <w:t>background)</w:t>
      </w:r>
    </w:p>
    <w:p w14:paraId="799DF672" w14:textId="77777777" w:rsidR="00BF3CF6" w:rsidRDefault="00BF3CF6">
      <w:pPr>
        <w:pStyle w:val="BodyText"/>
        <w:spacing w:before="2"/>
      </w:pPr>
    </w:p>
    <w:p w14:paraId="3C047F3B" w14:textId="77777777" w:rsidR="00BF3CF6" w:rsidRDefault="009B3A68">
      <w:pPr>
        <w:pStyle w:val="ListParagraph"/>
        <w:numPr>
          <w:ilvl w:val="0"/>
          <w:numId w:val="2"/>
        </w:numPr>
        <w:tabs>
          <w:tab w:val="left" w:pos="820"/>
          <w:tab w:val="left" w:pos="821"/>
        </w:tabs>
        <w:ind w:right="376" w:firstLine="0"/>
        <w:rPr>
          <w:sz w:val="24"/>
        </w:rPr>
      </w:pPr>
      <w:r>
        <w:rPr>
          <w:sz w:val="24"/>
        </w:rPr>
        <w:t xml:space="preserve">The logo is comprised of the </w:t>
      </w:r>
      <w:proofErr w:type="spellStart"/>
      <w:r>
        <w:rPr>
          <w:sz w:val="24"/>
        </w:rPr>
        <w:t>AuLitera</w:t>
      </w:r>
      <w:proofErr w:type="spellEnd"/>
      <w:r>
        <w:rPr>
          <w:sz w:val="24"/>
        </w:rPr>
        <w:t xml:space="preserve"> font appearing to the right of the</w:t>
      </w:r>
      <w:r>
        <w:rPr>
          <w:spacing w:val="-13"/>
          <w:sz w:val="24"/>
        </w:rPr>
        <w:t xml:space="preserve"> </w:t>
      </w:r>
      <w:r>
        <w:rPr>
          <w:sz w:val="24"/>
        </w:rPr>
        <w:t>figures. The graphic and text should never be rearranged, reconfigured, or altered in any</w:t>
      </w:r>
      <w:r>
        <w:rPr>
          <w:spacing w:val="-12"/>
          <w:sz w:val="24"/>
        </w:rPr>
        <w:t xml:space="preserve"> </w:t>
      </w:r>
      <w:r>
        <w:rPr>
          <w:sz w:val="24"/>
        </w:rPr>
        <w:t>way.</w:t>
      </w:r>
    </w:p>
    <w:p w14:paraId="1391D22D" w14:textId="77777777" w:rsidR="00BF3CF6" w:rsidRDefault="00BF3CF6">
      <w:pPr>
        <w:pStyle w:val="BodyText"/>
        <w:spacing w:before="9"/>
        <w:rPr>
          <w:sz w:val="20"/>
        </w:rPr>
      </w:pPr>
    </w:p>
    <w:p w14:paraId="5C38D6B9" w14:textId="77777777" w:rsidR="00BF3CF6" w:rsidRDefault="009B3A68">
      <w:pPr>
        <w:pStyle w:val="ListParagraph"/>
        <w:numPr>
          <w:ilvl w:val="0"/>
          <w:numId w:val="2"/>
        </w:numPr>
        <w:tabs>
          <w:tab w:val="left" w:pos="820"/>
          <w:tab w:val="left" w:pos="821"/>
        </w:tabs>
        <w:spacing w:before="1"/>
        <w:ind w:left="820"/>
        <w:rPr>
          <w:sz w:val="24"/>
        </w:rPr>
      </w:pPr>
      <w:r>
        <w:rPr>
          <w:sz w:val="24"/>
        </w:rPr>
        <w:t>The logo should never be printed smaller than ½” in</w:t>
      </w:r>
      <w:r>
        <w:rPr>
          <w:spacing w:val="-4"/>
          <w:sz w:val="24"/>
        </w:rPr>
        <w:t xml:space="preserve"> </w:t>
      </w:r>
      <w:r>
        <w:rPr>
          <w:sz w:val="24"/>
        </w:rPr>
        <w:t>size.</w:t>
      </w:r>
    </w:p>
    <w:p w14:paraId="0B9250E6" w14:textId="77777777" w:rsidR="00BF3CF6" w:rsidRDefault="00BF3CF6">
      <w:pPr>
        <w:pStyle w:val="BodyText"/>
        <w:spacing w:before="10"/>
        <w:rPr>
          <w:sz w:val="20"/>
        </w:rPr>
      </w:pPr>
    </w:p>
    <w:p w14:paraId="07364B4B" w14:textId="77777777" w:rsidR="00BF3CF6" w:rsidRDefault="009B3A68">
      <w:pPr>
        <w:pStyle w:val="ListParagraph"/>
        <w:numPr>
          <w:ilvl w:val="0"/>
          <w:numId w:val="2"/>
        </w:numPr>
        <w:tabs>
          <w:tab w:val="left" w:pos="820"/>
          <w:tab w:val="left" w:pos="821"/>
        </w:tabs>
        <w:ind w:right="308" w:firstLine="0"/>
        <w:rPr>
          <w:sz w:val="24"/>
        </w:rPr>
      </w:pPr>
      <w:r>
        <w:rPr>
          <w:sz w:val="24"/>
        </w:rPr>
        <w:t>There is no maximum size limit for the logo use, although the logo should</w:t>
      </w:r>
      <w:r>
        <w:rPr>
          <w:spacing w:val="-12"/>
          <w:sz w:val="24"/>
        </w:rPr>
        <w:t xml:space="preserve"> </w:t>
      </w:r>
      <w:r>
        <w:rPr>
          <w:sz w:val="24"/>
        </w:rPr>
        <w:t>never appear distorted, fuzzy, or</w:t>
      </w:r>
      <w:r>
        <w:rPr>
          <w:spacing w:val="-5"/>
          <w:sz w:val="24"/>
        </w:rPr>
        <w:t xml:space="preserve"> </w:t>
      </w:r>
      <w:r>
        <w:rPr>
          <w:sz w:val="24"/>
        </w:rPr>
        <w:t>unreadable.</w:t>
      </w:r>
    </w:p>
    <w:p w14:paraId="48F33784" w14:textId="77777777" w:rsidR="00BF3CF6" w:rsidRDefault="00BF3CF6">
      <w:pPr>
        <w:pStyle w:val="BodyText"/>
        <w:spacing w:before="2"/>
        <w:rPr>
          <w:sz w:val="21"/>
        </w:rPr>
      </w:pPr>
    </w:p>
    <w:p w14:paraId="35A5906E" w14:textId="77777777" w:rsidR="00BF3CF6" w:rsidRDefault="009B3A68">
      <w:pPr>
        <w:pStyle w:val="ListParagraph"/>
        <w:numPr>
          <w:ilvl w:val="0"/>
          <w:numId w:val="2"/>
        </w:numPr>
        <w:tabs>
          <w:tab w:val="left" w:pos="820"/>
          <w:tab w:val="left" w:pos="821"/>
        </w:tabs>
        <w:spacing w:line="274" w:lineRule="exact"/>
        <w:ind w:right="180" w:firstLine="0"/>
        <w:rPr>
          <w:sz w:val="24"/>
        </w:rPr>
      </w:pPr>
      <w:r>
        <w:rPr>
          <w:sz w:val="24"/>
        </w:rPr>
        <w:t>The CEC logo should be prominent while maintaining the graphic integrity of</w:t>
      </w:r>
      <w:r>
        <w:rPr>
          <w:spacing w:val="-11"/>
          <w:sz w:val="24"/>
        </w:rPr>
        <w:t xml:space="preserve"> </w:t>
      </w:r>
      <w:r>
        <w:rPr>
          <w:sz w:val="24"/>
        </w:rPr>
        <w:t>the piece on which it is</w:t>
      </w:r>
      <w:r>
        <w:rPr>
          <w:spacing w:val="-6"/>
          <w:sz w:val="24"/>
        </w:rPr>
        <w:t xml:space="preserve"> </w:t>
      </w:r>
      <w:r>
        <w:rPr>
          <w:sz w:val="24"/>
        </w:rPr>
        <w:t>displayed.</w:t>
      </w:r>
    </w:p>
    <w:p w14:paraId="2BA29EC2" w14:textId="77777777" w:rsidR="00BF3CF6" w:rsidRDefault="00BF3CF6">
      <w:pPr>
        <w:pStyle w:val="BodyText"/>
        <w:spacing w:before="6"/>
        <w:rPr>
          <w:sz w:val="20"/>
        </w:rPr>
      </w:pPr>
    </w:p>
    <w:p w14:paraId="18B1474E" w14:textId="77777777" w:rsidR="00BF3CF6" w:rsidRDefault="009B3A68">
      <w:pPr>
        <w:pStyle w:val="ListParagraph"/>
        <w:numPr>
          <w:ilvl w:val="0"/>
          <w:numId w:val="2"/>
        </w:numPr>
        <w:tabs>
          <w:tab w:val="left" w:pos="820"/>
          <w:tab w:val="left" w:pos="821"/>
        </w:tabs>
        <w:ind w:right="324" w:firstLine="0"/>
        <w:rPr>
          <w:sz w:val="24"/>
        </w:rPr>
      </w:pPr>
      <w:r>
        <w:rPr>
          <w:sz w:val="24"/>
        </w:rPr>
        <w:t>The CEC logo may not be combined with any logo other than those of officially recognized CEC state/provincial units and</w:t>
      </w:r>
      <w:r>
        <w:rPr>
          <w:spacing w:val="-8"/>
          <w:sz w:val="24"/>
        </w:rPr>
        <w:t xml:space="preserve"> </w:t>
      </w:r>
      <w:r>
        <w:rPr>
          <w:sz w:val="24"/>
        </w:rPr>
        <w:t>divisions.</w:t>
      </w:r>
    </w:p>
    <w:p w14:paraId="6409321B" w14:textId="77777777" w:rsidR="00BF3CF6" w:rsidRDefault="00BF3CF6">
      <w:pPr>
        <w:pStyle w:val="BodyText"/>
        <w:spacing w:before="9"/>
        <w:rPr>
          <w:sz w:val="20"/>
        </w:rPr>
      </w:pPr>
    </w:p>
    <w:p w14:paraId="4FD42D8B" w14:textId="77777777" w:rsidR="00BF3CF6" w:rsidRDefault="009B3A68">
      <w:pPr>
        <w:pStyle w:val="ListParagraph"/>
        <w:numPr>
          <w:ilvl w:val="0"/>
          <w:numId w:val="2"/>
        </w:numPr>
        <w:tabs>
          <w:tab w:val="left" w:pos="820"/>
          <w:tab w:val="left" w:pos="821"/>
        </w:tabs>
        <w:ind w:left="820"/>
        <w:rPr>
          <w:sz w:val="24"/>
        </w:rPr>
      </w:pPr>
      <w:r>
        <w:rPr>
          <w:sz w:val="24"/>
        </w:rPr>
        <w:t>Association, corporate, government, and other partners, please contact</w:t>
      </w:r>
      <w:r>
        <w:rPr>
          <w:spacing w:val="-11"/>
          <w:sz w:val="24"/>
        </w:rPr>
        <w:t xml:space="preserve"> </w:t>
      </w:r>
      <w:r>
        <w:rPr>
          <w:sz w:val="24"/>
        </w:rPr>
        <w:t>CEC.</w:t>
      </w:r>
    </w:p>
    <w:p w14:paraId="19E41161" w14:textId="77777777" w:rsidR="00BF3CF6" w:rsidRDefault="00BF3CF6">
      <w:pPr>
        <w:pStyle w:val="BodyText"/>
        <w:spacing w:before="8"/>
      </w:pPr>
    </w:p>
    <w:p w14:paraId="5D7B6E95" w14:textId="77777777" w:rsidR="00BF3CF6" w:rsidRDefault="009B3A68">
      <w:pPr>
        <w:pStyle w:val="Heading1"/>
        <w:spacing w:before="1"/>
        <w:ind w:left="398"/>
      </w:pPr>
      <w:r>
        <w:t>Guidelines for State/Provincial Unit, Division, Subdivision, and Chapter Logos</w:t>
      </w:r>
    </w:p>
    <w:p w14:paraId="634E3ABF" w14:textId="77777777" w:rsidR="00BF3CF6" w:rsidRDefault="00BF3CF6">
      <w:pPr>
        <w:pStyle w:val="BodyText"/>
        <w:rPr>
          <w:b/>
        </w:rPr>
      </w:pPr>
    </w:p>
    <w:p w14:paraId="4B308B73" w14:textId="77777777" w:rsidR="00BF3CF6" w:rsidRDefault="009B3A68">
      <w:pPr>
        <w:pStyle w:val="ListParagraph"/>
        <w:numPr>
          <w:ilvl w:val="0"/>
          <w:numId w:val="1"/>
        </w:numPr>
        <w:tabs>
          <w:tab w:val="left" w:pos="820"/>
          <w:tab w:val="left" w:pos="821"/>
        </w:tabs>
        <w:ind w:right="530" w:firstLine="0"/>
        <w:rPr>
          <w:sz w:val="24"/>
        </w:rPr>
      </w:pPr>
      <w:r>
        <w:rPr>
          <w:sz w:val="24"/>
        </w:rPr>
        <w:t>Please read the general usage guidelines first. All guidelines are applicable in addition to the</w:t>
      </w:r>
      <w:r>
        <w:rPr>
          <w:spacing w:val="-6"/>
          <w:sz w:val="24"/>
        </w:rPr>
        <w:t xml:space="preserve"> </w:t>
      </w:r>
      <w:r>
        <w:rPr>
          <w:sz w:val="24"/>
        </w:rPr>
        <w:t>following.</w:t>
      </w:r>
    </w:p>
    <w:p w14:paraId="2062A15B" w14:textId="77777777" w:rsidR="00BF3CF6" w:rsidRDefault="00BF3CF6">
      <w:pPr>
        <w:pStyle w:val="BodyText"/>
        <w:spacing w:before="9"/>
        <w:rPr>
          <w:sz w:val="20"/>
        </w:rPr>
      </w:pPr>
    </w:p>
    <w:p w14:paraId="02D4ED17" w14:textId="77777777" w:rsidR="00BF3CF6" w:rsidRDefault="009B3A68">
      <w:pPr>
        <w:pStyle w:val="ListParagraph"/>
        <w:numPr>
          <w:ilvl w:val="0"/>
          <w:numId w:val="1"/>
        </w:numPr>
        <w:tabs>
          <w:tab w:val="left" w:pos="820"/>
          <w:tab w:val="left" w:pos="821"/>
        </w:tabs>
        <w:ind w:right="587" w:firstLine="0"/>
        <w:rPr>
          <w:sz w:val="24"/>
        </w:rPr>
      </w:pPr>
      <w:r>
        <w:rPr>
          <w:sz w:val="24"/>
        </w:rPr>
        <w:t>In the case of product or other type of endorsements by state/provincial</w:t>
      </w:r>
      <w:r>
        <w:rPr>
          <w:spacing w:val="-14"/>
          <w:sz w:val="24"/>
        </w:rPr>
        <w:t xml:space="preserve"> </w:t>
      </w:r>
      <w:r>
        <w:rPr>
          <w:sz w:val="24"/>
        </w:rPr>
        <w:t>units, divisions, chapters, or subdivisions, CEC’s logo or name may not be used without explicit permission from</w:t>
      </w:r>
      <w:r>
        <w:rPr>
          <w:spacing w:val="-6"/>
          <w:sz w:val="24"/>
        </w:rPr>
        <w:t xml:space="preserve"> </w:t>
      </w:r>
      <w:r>
        <w:rPr>
          <w:sz w:val="24"/>
        </w:rPr>
        <w:t>CEC.</w:t>
      </w:r>
    </w:p>
    <w:p w14:paraId="3D983457" w14:textId="77777777" w:rsidR="00BF3CF6" w:rsidRDefault="00BF3CF6">
      <w:pPr>
        <w:pStyle w:val="BodyText"/>
        <w:spacing w:before="9"/>
        <w:rPr>
          <w:sz w:val="20"/>
        </w:rPr>
      </w:pPr>
    </w:p>
    <w:p w14:paraId="131CD529" w14:textId="77777777" w:rsidR="00BF3CF6" w:rsidRDefault="009B3A68">
      <w:pPr>
        <w:pStyle w:val="ListParagraph"/>
        <w:numPr>
          <w:ilvl w:val="0"/>
          <w:numId w:val="1"/>
        </w:numPr>
        <w:tabs>
          <w:tab w:val="left" w:pos="820"/>
          <w:tab w:val="left" w:pos="821"/>
        </w:tabs>
        <w:ind w:right="110" w:firstLine="0"/>
        <w:rPr>
          <w:sz w:val="24"/>
        </w:rPr>
      </w:pPr>
      <w:r>
        <w:rPr>
          <w:sz w:val="24"/>
        </w:rPr>
        <w:t xml:space="preserve">Officially recognized CEC units may use a “combo” logo. Two samples of the “combo” logo appear below with the unit name typeset next to the CEC brand. State and provincial </w:t>
      </w:r>
      <w:proofErr w:type="gramStart"/>
      <w:r>
        <w:rPr>
          <w:sz w:val="24"/>
        </w:rPr>
        <w:t>units’</w:t>
      </w:r>
      <w:proofErr w:type="gramEnd"/>
      <w:r>
        <w:rPr>
          <w:sz w:val="24"/>
        </w:rPr>
        <w:t xml:space="preserve"> are typeset differently than divisions’ names.  NOTE:  If you need to</w:t>
      </w:r>
      <w:r>
        <w:rPr>
          <w:spacing w:val="-7"/>
          <w:sz w:val="24"/>
        </w:rPr>
        <w:t xml:space="preserve"> </w:t>
      </w:r>
      <w:r>
        <w:rPr>
          <w:sz w:val="24"/>
        </w:rPr>
        <w:t>use</w:t>
      </w:r>
    </w:p>
    <w:p w14:paraId="542A516C" w14:textId="77777777" w:rsidR="00BF3CF6" w:rsidRDefault="00BF3CF6">
      <w:pPr>
        <w:rPr>
          <w:sz w:val="24"/>
        </w:rPr>
        <w:sectPr w:rsidR="00BF3CF6">
          <w:pgSz w:w="12240" w:h="15840"/>
          <w:pgMar w:top="1360" w:right="1700" w:bottom="280" w:left="1700" w:header="720" w:footer="720" w:gutter="0"/>
          <w:cols w:space="720"/>
        </w:sectPr>
      </w:pPr>
    </w:p>
    <w:p w14:paraId="768279AB" w14:textId="77777777" w:rsidR="00BF3CF6" w:rsidRDefault="009B3A68">
      <w:pPr>
        <w:pStyle w:val="BodyText"/>
        <w:spacing w:before="72"/>
        <w:ind w:left="100" w:right="176"/>
      </w:pPr>
      <w:r>
        <w:lastRenderedPageBreak/>
        <w:t>a “combo” logo, please request one that does not include the tagline, The voice and vision of special education.</w:t>
      </w:r>
    </w:p>
    <w:p w14:paraId="0682825F" w14:textId="77777777" w:rsidR="00BF3CF6" w:rsidRDefault="009B3A68">
      <w:pPr>
        <w:pStyle w:val="BodyText"/>
        <w:spacing w:before="4"/>
        <w:rPr>
          <w:sz w:val="21"/>
        </w:rPr>
      </w:pPr>
      <w:r>
        <w:rPr>
          <w:noProof/>
        </w:rPr>
        <w:drawing>
          <wp:anchor distT="0" distB="0" distL="0" distR="0" simplePos="0" relativeHeight="1048" behindDoc="0" locked="0" layoutInCell="1" allowOverlap="1" wp14:anchorId="6A76B091" wp14:editId="66609BE4">
            <wp:simplePos x="0" y="0"/>
            <wp:positionH relativeFrom="page">
              <wp:posOffset>1143000</wp:posOffset>
            </wp:positionH>
            <wp:positionV relativeFrom="paragraph">
              <wp:posOffset>181196</wp:posOffset>
            </wp:positionV>
            <wp:extent cx="4924409" cy="56083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924409" cy="560831"/>
                    </a:xfrm>
                    <a:prstGeom prst="rect">
                      <a:avLst/>
                    </a:prstGeom>
                  </pic:spPr>
                </pic:pic>
              </a:graphicData>
            </a:graphic>
          </wp:anchor>
        </w:drawing>
      </w:r>
    </w:p>
    <w:p w14:paraId="57D023B1" w14:textId="77777777" w:rsidR="00BF3CF6" w:rsidRDefault="00BF3CF6">
      <w:pPr>
        <w:pStyle w:val="BodyText"/>
        <w:spacing w:before="5"/>
        <w:rPr>
          <w:sz w:val="21"/>
        </w:rPr>
      </w:pPr>
    </w:p>
    <w:p w14:paraId="66F62B71" w14:textId="77777777" w:rsidR="00BF3CF6" w:rsidRDefault="009B3A68">
      <w:pPr>
        <w:pStyle w:val="ListParagraph"/>
        <w:numPr>
          <w:ilvl w:val="0"/>
          <w:numId w:val="1"/>
        </w:numPr>
        <w:tabs>
          <w:tab w:val="left" w:pos="820"/>
          <w:tab w:val="left" w:pos="821"/>
        </w:tabs>
        <w:ind w:right="112" w:firstLine="0"/>
        <w:rPr>
          <w:sz w:val="24"/>
        </w:rPr>
      </w:pPr>
      <w:r>
        <w:rPr>
          <w:sz w:val="24"/>
        </w:rPr>
        <w:t>The CEC “combo” logo featuring units’ names, should be displayed on all print materials including stationery, publications, brochures, advertisements, and conference programs, as well as on the Web. When old stationery and materials become depleted,</w:t>
      </w:r>
      <w:r>
        <w:rPr>
          <w:spacing w:val="-16"/>
          <w:sz w:val="24"/>
        </w:rPr>
        <w:t xml:space="preserve"> </w:t>
      </w:r>
      <w:r>
        <w:rPr>
          <w:sz w:val="24"/>
        </w:rPr>
        <w:t>the replacements should incorporate the logo and</w:t>
      </w:r>
      <w:r>
        <w:rPr>
          <w:spacing w:val="-9"/>
          <w:sz w:val="24"/>
        </w:rPr>
        <w:t xml:space="preserve"> </w:t>
      </w:r>
      <w:r>
        <w:rPr>
          <w:sz w:val="24"/>
        </w:rPr>
        <w:t>slogan.</w:t>
      </w:r>
    </w:p>
    <w:p w14:paraId="0CED8EB5" w14:textId="77777777" w:rsidR="00BF3CF6" w:rsidRDefault="00BF3CF6">
      <w:pPr>
        <w:pStyle w:val="BodyText"/>
        <w:spacing w:before="10"/>
        <w:rPr>
          <w:sz w:val="20"/>
        </w:rPr>
      </w:pPr>
    </w:p>
    <w:p w14:paraId="10886483" w14:textId="77777777" w:rsidR="00BF3CF6" w:rsidRDefault="009B3A68">
      <w:pPr>
        <w:pStyle w:val="ListParagraph"/>
        <w:numPr>
          <w:ilvl w:val="0"/>
          <w:numId w:val="1"/>
        </w:numPr>
        <w:tabs>
          <w:tab w:val="left" w:pos="821"/>
        </w:tabs>
        <w:ind w:right="199" w:firstLine="0"/>
        <w:jc w:val="both"/>
        <w:rPr>
          <w:sz w:val="24"/>
        </w:rPr>
      </w:pPr>
      <w:r>
        <w:rPr>
          <w:sz w:val="24"/>
        </w:rPr>
        <w:t>When multiple logos must appear on a document, the unit logo may be separated from the CEC logo (as in a masthead), with the “combo” logo appearing at the bottom of the</w:t>
      </w:r>
      <w:r>
        <w:rPr>
          <w:spacing w:val="-4"/>
          <w:sz w:val="24"/>
        </w:rPr>
        <w:t xml:space="preserve"> </w:t>
      </w:r>
      <w:r>
        <w:rPr>
          <w:sz w:val="24"/>
        </w:rPr>
        <w:t>page.</w:t>
      </w:r>
    </w:p>
    <w:p w14:paraId="5B84B640" w14:textId="77777777" w:rsidR="00BF3CF6" w:rsidRDefault="00BF3CF6">
      <w:pPr>
        <w:pStyle w:val="BodyText"/>
        <w:spacing w:before="9"/>
        <w:rPr>
          <w:sz w:val="20"/>
        </w:rPr>
      </w:pPr>
    </w:p>
    <w:p w14:paraId="0D50AC17" w14:textId="77777777" w:rsidR="00BF3CF6" w:rsidRDefault="009B3A68">
      <w:pPr>
        <w:pStyle w:val="ListParagraph"/>
        <w:numPr>
          <w:ilvl w:val="0"/>
          <w:numId w:val="1"/>
        </w:numPr>
        <w:tabs>
          <w:tab w:val="left" w:pos="820"/>
          <w:tab w:val="left" w:pos="821"/>
        </w:tabs>
        <w:spacing w:before="1"/>
        <w:ind w:right="571" w:firstLine="0"/>
        <w:rPr>
          <w:sz w:val="24"/>
        </w:rPr>
      </w:pPr>
      <w:r>
        <w:rPr>
          <w:sz w:val="24"/>
        </w:rPr>
        <w:t>When using a single logo, such as on a Web site, the “combo” logo should be used.</w:t>
      </w:r>
    </w:p>
    <w:p w14:paraId="6AE6A4FA" w14:textId="77777777" w:rsidR="00BF3CF6" w:rsidRDefault="00BF3CF6">
      <w:pPr>
        <w:pStyle w:val="BodyText"/>
        <w:spacing w:before="10"/>
        <w:rPr>
          <w:sz w:val="20"/>
        </w:rPr>
      </w:pPr>
    </w:p>
    <w:p w14:paraId="2D53F49F" w14:textId="77777777" w:rsidR="00BF3CF6" w:rsidRDefault="009B3A68">
      <w:pPr>
        <w:pStyle w:val="ListParagraph"/>
        <w:numPr>
          <w:ilvl w:val="0"/>
          <w:numId w:val="1"/>
        </w:numPr>
        <w:tabs>
          <w:tab w:val="left" w:pos="820"/>
          <w:tab w:val="left" w:pos="821"/>
        </w:tabs>
        <w:ind w:right="243" w:firstLine="0"/>
        <w:rPr>
          <w:sz w:val="24"/>
        </w:rPr>
      </w:pPr>
      <w:r>
        <w:rPr>
          <w:sz w:val="24"/>
        </w:rPr>
        <w:t>“Combo” logos may be created using the actual brand of the state/provincial unit or division, equalizing the size between the logos, centering the slogan underneath the logos, and organizing them as they appear below. NOTE: If you need to use a “combo” logo, please request one that does not include the tagline, “The voice and vision of special</w:t>
      </w:r>
      <w:r>
        <w:rPr>
          <w:spacing w:val="-3"/>
          <w:sz w:val="24"/>
        </w:rPr>
        <w:t xml:space="preserve"> </w:t>
      </w:r>
      <w:r>
        <w:rPr>
          <w:sz w:val="24"/>
        </w:rPr>
        <w:t>education.”</w:t>
      </w:r>
    </w:p>
    <w:p w14:paraId="08DC3D86" w14:textId="77777777" w:rsidR="00BF3CF6" w:rsidRDefault="009B3A68">
      <w:pPr>
        <w:pStyle w:val="BodyText"/>
        <w:spacing w:before="5"/>
        <w:rPr>
          <w:sz w:val="21"/>
        </w:rPr>
      </w:pPr>
      <w:r>
        <w:rPr>
          <w:noProof/>
        </w:rPr>
        <w:drawing>
          <wp:anchor distT="0" distB="0" distL="0" distR="0" simplePos="0" relativeHeight="1072" behindDoc="0" locked="0" layoutInCell="1" allowOverlap="1" wp14:anchorId="23496547" wp14:editId="51BF1A67">
            <wp:simplePos x="0" y="0"/>
            <wp:positionH relativeFrom="page">
              <wp:posOffset>1143000</wp:posOffset>
            </wp:positionH>
            <wp:positionV relativeFrom="paragraph">
              <wp:posOffset>181292</wp:posOffset>
            </wp:positionV>
            <wp:extent cx="5453086" cy="1152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453086" cy="1152525"/>
                    </a:xfrm>
                    <a:prstGeom prst="rect">
                      <a:avLst/>
                    </a:prstGeom>
                  </pic:spPr>
                </pic:pic>
              </a:graphicData>
            </a:graphic>
          </wp:anchor>
        </w:drawing>
      </w:r>
    </w:p>
    <w:p w14:paraId="0430F548" w14:textId="77777777" w:rsidR="00BF3CF6" w:rsidRDefault="00BF3CF6">
      <w:pPr>
        <w:pStyle w:val="BodyText"/>
        <w:spacing w:before="5"/>
        <w:rPr>
          <w:sz w:val="21"/>
        </w:rPr>
      </w:pPr>
    </w:p>
    <w:p w14:paraId="653E7617" w14:textId="77777777" w:rsidR="00BF3CF6" w:rsidRDefault="009B3A68">
      <w:pPr>
        <w:pStyle w:val="ListParagraph"/>
        <w:numPr>
          <w:ilvl w:val="0"/>
          <w:numId w:val="1"/>
        </w:numPr>
        <w:tabs>
          <w:tab w:val="left" w:pos="820"/>
          <w:tab w:val="left" w:pos="821"/>
        </w:tabs>
        <w:ind w:right="539" w:firstLine="0"/>
        <w:rPr>
          <w:sz w:val="24"/>
        </w:rPr>
      </w:pPr>
      <w:r>
        <w:rPr>
          <w:sz w:val="24"/>
        </w:rPr>
        <w:t>For chapters and subdivisions, the general CEC logo may be used specifically according to the guidelines. Contact CEC for further</w:t>
      </w:r>
      <w:r>
        <w:rPr>
          <w:spacing w:val="-13"/>
          <w:sz w:val="24"/>
        </w:rPr>
        <w:t xml:space="preserve"> </w:t>
      </w:r>
      <w:r>
        <w:rPr>
          <w:sz w:val="24"/>
        </w:rPr>
        <w:t>clarification.</w:t>
      </w:r>
    </w:p>
    <w:p w14:paraId="28452D45" w14:textId="77777777" w:rsidR="00BF3CF6" w:rsidRDefault="00BF3CF6">
      <w:pPr>
        <w:pStyle w:val="BodyText"/>
        <w:rPr>
          <w:sz w:val="26"/>
        </w:rPr>
      </w:pPr>
    </w:p>
    <w:p w14:paraId="00E66C8A" w14:textId="77777777" w:rsidR="00BF3CF6" w:rsidRDefault="00BF3CF6">
      <w:pPr>
        <w:pStyle w:val="BodyText"/>
        <w:spacing w:before="5"/>
        <w:rPr>
          <w:sz w:val="22"/>
        </w:rPr>
      </w:pPr>
    </w:p>
    <w:p w14:paraId="22DE8DA7" w14:textId="1E20F33A" w:rsidR="00BF3CF6" w:rsidRDefault="009B3A68">
      <w:pPr>
        <w:pStyle w:val="BodyText"/>
        <w:ind w:left="100"/>
      </w:pPr>
      <w:r>
        <w:rPr>
          <w:b/>
        </w:rPr>
        <w:t xml:space="preserve">Questions?  </w:t>
      </w:r>
      <w:r>
        <w:t xml:space="preserve">Please contact </w:t>
      </w:r>
      <w:r w:rsidR="005B0C12">
        <w:t>Alexandra Garvey</w:t>
      </w:r>
      <w:r>
        <w:t xml:space="preserve">, </w:t>
      </w:r>
      <w:hyperlink r:id="rId10" w:history="1">
        <w:r w:rsidR="00F210DF">
          <w:rPr>
            <w:rStyle w:val="Hyperlink"/>
          </w:rPr>
          <w:t>alexandrag@cec.sped.org</w:t>
        </w:r>
      </w:hyperlink>
      <w:r w:rsidR="00E72008" w:rsidRPr="00F210DF">
        <w:rPr>
          <w:rStyle w:val="Hyperlink"/>
        </w:rPr>
        <w:t>,</w:t>
      </w:r>
      <w:r>
        <w:t xml:space="preserve"> 703-264-943</w:t>
      </w:r>
      <w:r w:rsidR="005B0C12">
        <w:t>5</w:t>
      </w:r>
      <w:r>
        <w:t>.</w:t>
      </w:r>
    </w:p>
    <w:sectPr w:rsidR="00BF3CF6">
      <w:pgSz w:w="12240" w:h="15840"/>
      <w:pgMar w:top="13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81708"/>
    <w:multiLevelType w:val="hybridMultilevel"/>
    <w:tmpl w:val="89CE23A2"/>
    <w:lvl w:ilvl="0" w:tplc="554A4E84">
      <w:numFmt w:val="bullet"/>
      <w:lvlText w:val=""/>
      <w:lvlJc w:val="left"/>
      <w:pPr>
        <w:ind w:left="820" w:hanging="360"/>
      </w:pPr>
      <w:rPr>
        <w:rFonts w:ascii="Symbol" w:eastAsia="Symbol" w:hAnsi="Symbol" w:cs="Symbol" w:hint="default"/>
        <w:w w:val="100"/>
        <w:sz w:val="24"/>
        <w:szCs w:val="24"/>
      </w:rPr>
    </w:lvl>
    <w:lvl w:ilvl="1" w:tplc="A54AA6C4">
      <w:numFmt w:val="bullet"/>
      <w:lvlText w:val="•"/>
      <w:lvlJc w:val="left"/>
      <w:pPr>
        <w:ind w:left="1620" w:hanging="360"/>
      </w:pPr>
      <w:rPr>
        <w:rFonts w:hint="default"/>
      </w:rPr>
    </w:lvl>
    <w:lvl w:ilvl="2" w:tplc="382EC1C6">
      <w:numFmt w:val="bullet"/>
      <w:lvlText w:val="•"/>
      <w:lvlJc w:val="left"/>
      <w:pPr>
        <w:ind w:left="2420" w:hanging="360"/>
      </w:pPr>
      <w:rPr>
        <w:rFonts w:hint="default"/>
      </w:rPr>
    </w:lvl>
    <w:lvl w:ilvl="3" w:tplc="5536880C">
      <w:numFmt w:val="bullet"/>
      <w:lvlText w:val="•"/>
      <w:lvlJc w:val="left"/>
      <w:pPr>
        <w:ind w:left="3220" w:hanging="360"/>
      </w:pPr>
      <w:rPr>
        <w:rFonts w:hint="default"/>
      </w:rPr>
    </w:lvl>
    <w:lvl w:ilvl="4" w:tplc="D5C8DFC6">
      <w:numFmt w:val="bullet"/>
      <w:lvlText w:val="•"/>
      <w:lvlJc w:val="left"/>
      <w:pPr>
        <w:ind w:left="4020" w:hanging="360"/>
      </w:pPr>
      <w:rPr>
        <w:rFonts w:hint="default"/>
      </w:rPr>
    </w:lvl>
    <w:lvl w:ilvl="5" w:tplc="7048D3B0">
      <w:numFmt w:val="bullet"/>
      <w:lvlText w:val="•"/>
      <w:lvlJc w:val="left"/>
      <w:pPr>
        <w:ind w:left="4820" w:hanging="360"/>
      </w:pPr>
      <w:rPr>
        <w:rFonts w:hint="default"/>
      </w:rPr>
    </w:lvl>
    <w:lvl w:ilvl="6" w:tplc="9738D126">
      <w:numFmt w:val="bullet"/>
      <w:lvlText w:val="•"/>
      <w:lvlJc w:val="left"/>
      <w:pPr>
        <w:ind w:left="5620" w:hanging="360"/>
      </w:pPr>
      <w:rPr>
        <w:rFonts w:hint="default"/>
      </w:rPr>
    </w:lvl>
    <w:lvl w:ilvl="7" w:tplc="227682DE">
      <w:numFmt w:val="bullet"/>
      <w:lvlText w:val="•"/>
      <w:lvlJc w:val="left"/>
      <w:pPr>
        <w:ind w:left="6420" w:hanging="360"/>
      </w:pPr>
      <w:rPr>
        <w:rFonts w:hint="default"/>
      </w:rPr>
    </w:lvl>
    <w:lvl w:ilvl="8" w:tplc="28328094">
      <w:numFmt w:val="bullet"/>
      <w:lvlText w:val="•"/>
      <w:lvlJc w:val="left"/>
      <w:pPr>
        <w:ind w:left="7220" w:hanging="360"/>
      </w:pPr>
      <w:rPr>
        <w:rFonts w:hint="default"/>
      </w:rPr>
    </w:lvl>
  </w:abstractNum>
  <w:abstractNum w:abstractNumId="1" w15:restartNumberingAfterBreak="0">
    <w:nsid w:val="4B781030"/>
    <w:multiLevelType w:val="hybridMultilevel"/>
    <w:tmpl w:val="57E68FA6"/>
    <w:lvl w:ilvl="0" w:tplc="3B60377C">
      <w:start w:val="1"/>
      <w:numFmt w:val="decimal"/>
      <w:lvlText w:val="%1."/>
      <w:lvlJc w:val="left"/>
      <w:pPr>
        <w:ind w:left="100" w:hanging="720"/>
        <w:jc w:val="left"/>
      </w:pPr>
      <w:rPr>
        <w:rFonts w:ascii="Times New Roman" w:eastAsia="Times New Roman" w:hAnsi="Times New Roman" w:cs="Times New Roman" w:hint="default"/>
        <w:spacing w:val="-3"/>
        <w:w w:val="99"/>
        <w:sz w:val="24"/>
        <w:szCs w:val="24"/>
      </w:rPr>
    </w:lvl>
    <w:lvl w:ilvl="1" w:tplc="0F44E86A">
      <w:numFmt w:val="bullet"/>
      <w:lvlText w:val="•"/>
      <w:lvlJc w:val="left"/>
      <w:pPr>
        <w:ind w:left="974" w:hanging="720"/>
      </w:pPr>
      <w:rPr>
        <w:rFonts w:hint="default"/>
      </w:rPr>
    </w:lvl>
    <w:lvl w:ilvl="2" w:tplc="C5CA7DAC">
      <w:numFmt w:val="bullet"/>
      <w:lvlText w:val="•"/>
      <w:lvlJc w:val="left"/>
      <w:pPr>
        <w:ind w:left="1848" w:hanging="720"/>
      </w:pPr>
      <w:rPr>
        <w:rFonts w:hint="default"/>
      </w:rPr>
    </w:lvl>
    <w:lvl w:ilvl="3" w:tplc="B8260F56">
      <w:numFmt w:val="bullet"/>
      <w:lvlText w:val="•"/>
      <w:lvlJc w:val="left"/>
      <w:pPr>
        <w:ind w:left="2722" w:hanging="720"/>
      </w:pPr>
      <w:rPr>
        <w:rFonts w:hint="default"/>
      </w:rPr>
    </w:lvl>
    <w:lvl w:ilvl="4" w:tplc="BCDCF300">
      <w:numFmt w:val="bullet"/>
      <w:lvlText w:val="•"/>
      <w:lvlJc w:val="left"/>
      <w:pPr>
        <w:ind w:left="3596" w:hanging="720"/>
      </w:pPr>
      <w:rPr>
        <w:rFonts w:hint="default"/>
      </w:rPr>
    </w:lvl>
    <w:lvl w:ilvl="5" w:tplc="E38C0974">
      <w:numFmt w:val="bullet"/>
      <w:lvlText w:val="•"/>
      <w:lvlJc w:val="left"/>
      <w:pPr>
        <w:ind w:left="4470" w:hanging="720"/>
      </w:pPr>
      <w:rPr>
        <w:rFonts w:hint="default"/>
      </w:rPr>
    </w:lvl>
    <w:lvl w:ilvl="6" w:tplc="E2822EFC">
      <w:numFmt w:val="bullet"/>
      <w:lvlText w:val="•"/>
      <w:lvlJc w:val="left"/>
      <w:pPr>
        <w:ind w:left="5344" w:hanging="720"/>
      </w:pPr>
      <w:rPr>
        <w:rFonts w:hint="default"/>
      </w:rPr>
    </w:lvl>
    <w:lvl w:ilvl="7" w:tplc="00367E0A">
      <w:numFmt w:val="bullet"/>
      <w:lvlText w:val="•"/>
      <w:lvlJc w:val="left"/>
      <w:pPr>
        <w:ind w:left="6218" w:hanging="720"/>
      </w:pPr>
      <w:rPr>
        <w:rFonts w:hint="default"/>
      </w:rPr>
    </w:lvl>
    <w:lvl w:ilvl="8" w:tplc="A6DAA15A">
      <w:numFmt w:val="bullet"/>
      <w:lvlText w:val="•"/>
      <w:lvlJc w:val="left"/>
      <w:pPr>
        <w:ind w:left="7092" w:hanging="720"/>
      </w:pPr>
      <w:rPr>
        <w:rFonts w:hint="default"/>
      </w:rPr>
    </w:lvl>
  </w:abstractNum>
  <w:abstractNum w:abstractNumId="2" w15:restartNumberingAfterBreak="0">
    <w:nsid w:val="54B31664"/>
    <w:multiLevelType w:val="hybridMultilevel"/>
    <w:tmpl w:val="6CE29514"/>
    <w:lvl w:ilvl="0" w:tplc="A23EA026">
      <w:start w:val="1"/>
      <w:numFmt w:val="decimal"/>
      <w:lvlText w:val="%1."/>
      <w:lvlJc w:val="left"/>
      <w:pPr>
        <w:ind w:left="100" w:hanging="720"/>
        <w:jc w:val="left"/>
      </w:pPr>
      <w:rPr>
        <w:rFonts w:ascii="Times New Roman" w:eastAsia="Times New Roman" w:hAnsi="Times New Roman" w:cs="Times New Roman" w:hint="default"/>
        <w:spacing w:val="-8"/>
        <w:w w:val="99"/>
        <w:sz w:val="24"/>
        <w:szCs w:val="24"/>
      </w:rPr>
    </w:lvl>
    <w:lvl w:ilvl="1" w:tplc="3C40E08A">
      <w:numFmt w:val="bullet"/>
      <w:lvlText w:val=""/>
      <w:lvlJc w:val="left"/>
      <w:pPr>
        <w:ind w:left="820" w:hanging="360"/>
      </w:pPr>
      <w:rPr>
        <w:rFonts w:ascii="Symbol" w:eastAsia="Symbol" w:hAnsi="Symbol" w:cs="Symbol" w:hint="default"/>
        <w:w w:val="100"/>
        <w:sz w:val="24"/>
        <w:szCs w:val="24"/>
      </w:rPr>
    </w:lvl>
    <w:lvl w:ilvl="2" w:tplc="98103A28">
      <w:numFmt w:val="bullet"/>
      <w:lvlText w:val="•"/>
      <w:lvlJc w:val="left"/>
      <w:pPr>
        <w:ind w:left="1711" w:hanging="360"/>
      </w:pPr>
      <w:rPr>
        <w:rFonts w:hint="default"/>
      </w:rPr>
    </w:lvl>
    <w:lvl w:ilvl="3" w:tplc="640A7158">
      <w:numFmt w:val="bullet"/>
      <w:lvlText w:val="•"/>
      <w:lvlJc w:val="left"/>
      <w:pPr>
        <w:ind w:left="2602" w:hanging="360"/>
      </w:pPr>
      <w:rPr>
        <w:rFonts w:hint="default"/>
      </w:rPr>
    </w:lvl>
    <w:lvl w:ilvl="4" w:tplc="AD6CA9C0">
      <w:numFmt w:val="bullet"/>
      <w:lvlText w:val="•"/>
      <w:lvlJc w:val="left"/>
      <w:pPr>
        <w:ind w:left="3493" w:hanging="360"/>
      </w:pPr>
      <w:rPr>
        <w:rFonts w:hint="default"/>
      </w:rPr>
    </w:lvl>
    <w:lvl w:ilvl="5" w:tplc="DC8C72EE">
      <w:numFmt w:val="bullet"/>
      <w:lvlText w:val="•"/>
      <w:lvlJc w:val="left"/>
      <w:pPr>
        <w:ind w:left="4384" w:hanging="360"/>
      </w:pPr>
      <w:rPr>
        <w:rFonts w:hint="default"/>
      </w:rPr>
    </w:lvl>
    <w:lvl w:ilvl="6" w:tplc="7A20C23E">
      <w:numFmt w:val="bullet"/>
      <w:lvlText w:val="•"/>
      <w:lvlJc w:val="left"/>
      <w:pPr>
        <w:ind w:left="5275" w:hanging="360"/>
      </w:pPr>
      <w:rPr>
        <w:rFonts w:hint="default"/>
      </w:rPr>
    </w:lvl>
    <w:lvl w:ilvl="7" w:tplc="6F046AA6">
      <w:numFmt w:val="bullet"/>
      <w:lvlText w:val="•"/>
      <w:lvlJc w:val="left"/>
      <w:pPr>
        <w:ind w:left="6166" w:hanging="360"/>
      </w:pPr>
      <w:rPr>
        <w:rFonts w:hint="default"/>
      </w:rPr>
    </w:lvl>
    <w:lvl w:ilvl="8" w:tplc="EDC43AE8">
      <w:numFmt w:val="bullet"/>
      <w:lvlText w:val="•"/>
      <w:lvlJc w:val="left"/>
      <w:pPr>
        <w:ind w:left="705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F3CF6"/>
    <w:rsid w:val="005B0C12"/>
    <w:rsid w:val="009B3A68"/>
    <w:rsid w:val="00B75459"/>
    <w:rsid w:val="00BF3CF6"/>
    <w:rsid w:val="00E72008"/>
    <w:rsid w:val="00F210DF"/>
    <w:rsid w:val="00FA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1597"/>
  <w15:docId w15:val="{A1007988-F698-4CBA-83F1-44B39C26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2008"/>
    <w:rPr>
      <w:color w:val="0000FF" w:themeColor="hyperlink"/>
      <w:u w:val="single"/>
    </w:rPr>
  </w:style>
  <w:style w:type="character" w:styleId="UnresolvedMention">
    <w:name w:val="Unresolved Mention"/>
    <w:basedOn w:val="DefaultParagraphFont"/>
    <w:uiPriority w:val="99"/>
    <w:semiHidden/>
    <w:unhideWhenUsed/>
    <w:rsid w:val="00E72008"/>
    <w:rPr>
      <w:color w:val="605E5C"/>
      <w:shd w:val="clear" w:color="auto" w:fill="E1DFDD"/>
    </w:rPr>
  </w:style>
  <w:style w:type="character" w:styleId="FollowedHyperlink">
    <w:name w:val="FollowedHyperlink"/>
    <w:basedOn w:val="DefaultParagraphFont"/>
    <w:uiPriority w:val="99"/>
    <w:semiHidden/>
    <w:unhideWhenUsed/>
    <w:rsid w:val="00FA7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lexandrag@cec.spe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andrag@cec.sped.org"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B880-A035-4E23-8140-1E432751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CEC Branding Guide</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 Branding Guide</dc:title>
  <dc:creator>joanm</dc:creator>
  <cp:lastModifiedBy>Alexandra Garvey</cp:lastModifiedBy>
  <cp:revision>6</cp:revision>
  <dcterms:created xsi:type="dcterms:W3CDTF">2019-01-24T12:47:00Z</dcterms:created>
  <dcterms:modified xsi:type="dcterms:W3CDTF">2019-04-22T14:50:00Z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2013</vt:lpwstr>
  </property>
  <property fmtid="{D5CDD505-2E9C-101B-9397-08002B2CF9AE}" pid="4" name="LastSaved">
    <vt:filetime>2019-01-24T00:00:00Z</vt:filetime>
  </property>
</Properties>
</file>